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08EE1783" w:rsidR="007C2FEE" w:rsidRDefault="00E734EC" w:rsidP="007C2FEE">
      <w:pPr>
        <w:pStyle w:val="Head"/>
        <w:rPr>
          <w:lang w:val="fr-FR"/>
        </w:rPr>
      </w:pPr>
      <w:r>
        <w:rPr>
          <w:lang w:val="fr-FR"/>
        </w:rPr>
        <w:t xml:space="preserve">Wirtgen │ Élargissement de la Ruta 5 entre Montevideo et la frontière brésilienne </w:t>
      </w:r>
    </w:p>
    <w:p w14:paraId="41BFF78A" w14:textId="77777777" w:rsidR="00713BCB" w:rsidRPr="00713BCB" w:rsidRDefault="00713BCB" w:rsidP="00713BCB">
      <w:pPr>
        <w:pStyle w:val="Subhead"/>
        <w:rPr>
          <w:lang w:val="fr-FR"/>
        </w:rPr>
      </w:pPr>
    </w:p>
    <w:p w14:paraId="34A89D42" w14:textId="59B1279B" w:rsidR="007C2FEE" w:rsidRDefault="00E734EC" w:rsidP="007C2FEE">
      <w:pPr>
        <w:pStyle w:val="Subhead"/>
        <w:rPr>
          <w:bCs/>
          <w:iCs w:val="0"/>
          <w:lang w:val="fr-FR"/>
        </w:rPr>
      </w:pPr>
      <w:r>
        <w:rPr>
          <w:bCs/>
          <w:iCs w:val="0"/>
          <w:lang w:val="fr-FR"/>
        </w:rPr>
        <w:t>Projet de construction routière réussi en Uruguay avec les solutions efficaces et rentables de Wirtgen pour la pose de béton</w:t>
      </w:r>
    </w:p>
    <w:p w14:paraId="12222045" w14:textId="77777777" w:rsidR="00713BCB" w:rsidRPr="00713BCB" w:rsidRDefault="00713BCB" w:rsidP="00713BCB">
      <w:pPr>
        <w:pStyle w:val="Teaser"/>
        <w:rPr>
          <w:lang w:val="fr-FR"/>
        </w:rPr>
      </w:pPr>
    </w:p>
    <w:p w14:paraId="212E61C5" w14:textId="580958BC" w:rsidR="00230B87" w:rsidRPr="00713BCB" w:rsidRDefault="00E734EC" w:rsidP="00230B87">
      <w:pPr>
        <w:pStyle w:val="Teaser"/>
        <w:rPr>
          <w:lang w:val="en-US"/>
        </w:rPr>
      </w:pPr>
      <w:r>
        <w:rPr>
          <w:bCs/>
          <w:lang w:val="fr-FR"/>
        </w:rPr>
        <w:t>L’une des cinq plus grandes routes nationales uruguayennes a pour point de départ Montevideo et mène vers l’intérieur du pays. Les « cinq doigts » relient les plus grandes villes à la capitale et représentent les plus importantes voies de transport du pays. L’une d’elles, la Ruta 5, traverse le pays du sud vers le nord, jusqu’à la frontière brésilienne, à Rivera.</w:t>
      </w:r>
    </w:p>
    <w:p w14:paraId="088C0F2F" w14:textId="65E7B6EB" w:rsidR="00230B87" w:rsidRPr="00713BCB" w:rsidRDefault="00230B87" w:rsidP="00230B87">
      <w:pPr>
        <w:pStyle w:val="Standardabsatz"/>
        <w:rPr>
          <w:lang w:val="fr-FR"/>
        </w:rPr>
      </w:pPr>
      <w:r>
        <w:rPr>
          <w:lang w:val="fr-FR"/>
        </w:rPr>
        <w:t xml:space="preserve">Alors que la route ne comportait jusqu’à présent qu’une voie dans chaque sens, 75 km de cette route sont en train de passer sur deux voies. Les travaux comprennent la construction de la nouvelle chaussée et la réparation du revêtement routier existant. Quatre entreprises ont été mandatées pour le chantier de construction. Sont mises en œuvre entre autres trois machines à coffrage glissant SP 64 et deux machines de traitement de surface TCM </w:t>
      </w:r>
      <w:proofErr w:type="gramStart"/>
      <w:r>
        <w:rPr>
          <w:lang w:val="fr-FR"/>
        </w:rPr>
        <w:t>180  de</w:t>
      </w:r>
      <w:proofErr w:type="gramEnd"/>
      <w:r>
        <w:rPr>
          <w:lang w:val="fr-FR"/>
        </w:rPr>
        <w:t xml:space="preserve"> Wirtgen ainsi qu’une chargeuse compacte JD 318G de John Deere. </w:t>
      </w:r>
    </w:p>
    <w:p w14:paraId="6583AD4F" w14:textId="77777777" w:rsidR="0033422D" w:rsidRPr="00713BCB" w:rsidRDefault="0033422D" w:rsidP="0033422D">
      <w:pPr>
        <w:pStyle w:val="Teaserhead"/>
        <w:rPr>
          <w:lang w:val="en-US"/>
        </w:rPr>
      </w:pPr>
      <w:r>
        <w:rPr>
          <w:bCs/>
          <w:lang w:val="fr-FR"/>
        </w:rPr>
        <w:t>Processus de pose optimisé avec un DBI</w:t>
      </w:r>
    </w:p>
    <w:p w14:paraId="7CC2B5CE" w14:textId="67C4D22C" w:rsidR="0033422D" w:rsidRPr="00713BCB" w:rsidRDefault="0033422D" w:rsidP="000903BA">
      <w:pPr>
        <w:pStyle w:val="Standardabsatz"/>
        <w:rPr>
          <w:lang w:val="en-US"/>
        </w:rPr>
      </w:pPr>
      <w:r>
        <w:rPr>
          <w:lang w:val="fr-FR"/>
        </w:rPr>
        <w:t xml:space="preserve">Lors de la pose de chaussées en béton, l’armature, en l’occurrence des chevilles ou des treillis d'armature, est souvent posée en amont de la machine. Sur ce site, ce procédé aurait toutefois été très long. Or cette pose préalable restreint souvent l’espace disponible sur le chantier et rend les manœuvres des véhicules difficiles. Lorsque l'armature est posée au préalable, la livraison du béton ne peut être effectuée que par le côté. </w:t>
      </w:r>
    </w:p>
    <w:p w14:paraId="6D480679" w14:textId="14F715BC" w:rsidR="000903BA" w:rsidRPr="00713BCB" w:rsidRDefault="0033422D" w:rsidP="000903BA">
      <w:pPr>
        <w:pStyle w:val="Standardabsatz"/>
        <w:rPr>
          <w:lang w:val="en-US"/>
        </w:rPr>
      </w:pPr>
      <w:r>
        <w:rPr>
          <w:lang w:val="fr-FR"/>
        </w:rPr>
        <w:t>L’utilisation du dispositif d’insertion de goujons (le DBI) sur la SP 64 offre de nombreux avantages. Des goujons et des armatures longitudinales sont posés de manière automatisée sur toute la largeur. Ce procédé augmente la sécurité puisqu’ils sont systématiquement posés au bon endroit. Le béton peut être déchargé et réparti directement devant la machine. Les véhicules de chantier, comme les camions livrant le béton, disposent de plus de place pour manœuvrer. « Cette machine nous permet d’atteindre une capacité de production bien supérieure par rapport à avant, quand on posait le béton avec des tables vibrantes. », explique Sebastián Trujillo, opérateur de machines chez R&amp;K – Berkes, pour évoquer les avantages du SP 64.</w:t>
      </w:r>
    </w:p>
    <w:p w14:paraId="367A2502" w14:textId="5F510981" w:rsidR="000903BA" w:rsidRPr="00F4241F" w:rsidRDefault="000903BA" w:rsidP="000903BA">
      <w:pPr>
        <w:pStyle w:val="Teaserhead"/>
        <w:rPr>
          <w:bCs/>
          <w:lang w:val="en-US"/>
        </w:rPr>
      </w:pPr>
      <w:r>
        <w:rPr>
          <w:bCs/>
          <w:lang w:val="fr-FR"/>
        </w:rPr>
        <w:t xml:space="preserve">Technologies ultra-modernes avec </w:t>
      </w:r>
      <w:r w:rsidRPr="00F4241F">
        <w:rPr>
          <w:bCs/>
          <w:lang w:val="fr-FR"/>
        </w:rPr>
        <w:t>commande 3D</w:t>
      </w:r>
    </w:p>
    <w:p w14:paraId="06EA8E0E" w14:textId="77777777" w:rsidR="000903BA" w:rsidRPr="00713BCB" w:rsidRDefault="000903BA" w:rsidP="000903BA">
      <w:pPr>
        <w:pStyle w:val="Standardabsatz"/>
        <w:rPr>
          <w:lang w:val="fr-FR"/>
        </w:rPr>
      </w:pPr>
      <w:r>
        <w:rPr>
          <w:lang w:val="fr-FR"/>
        </w:rPr>
        <w:t xml:space="preserve">D'habitude, les machines à coffrage glissant sont guidées mécaniquement, par des fils de guidage posés au préalable. Avec le guidage sans fil 3D, la section à poser est représentée dans un modèle numérique. Deux prismes sont généralement intégrés dans la machine à coffrage glissant : chacun est en contact visuel direct avec une station totale et son faisceau de mesure. La station totale détermine en trois dimensions la position du prisme et la communique au guidage de la machine. En </w:t>
      </w:r>
      <w:r>
        <w:rPr>
          <w:lang w:val="fr-FR"/>
        </w:rPr>
        <w:lastRenderedPageBreak/>
        <w:t>association avec les capteurs d’inclinaison sur la machine, le finisseur peut ainsi être guidé avec une extrême précision tant pour la hauteur que pour la position.</w:t>
      </w:r>
    </w:p>
    <w:p w14:paraId="79A33357" w14:textId="279B3E87" w:rsidR="000903BA" w:rsidRPr="00713BCB" w:rsidRDefault="000903BA" w:rsidP="000903BA">
      <w:pPr>
        <w:pStyle w:val="Teaserhead"/>
        <w:rPr>
          <w:lang w:val="en-US"/>
        </w:rPr>
      </w:pPr>
      <w:r>
        <w:rPr>
          <w:bCs/>
          <w:lang w:val="fr-FR"/>
        </w:rPr>
        <w:t>Plus de place sur le chantier</w:t>
      </w:r>
    </w:p>
    <w:p w14:paraId="6F5857C5" w14:textId="32261292" w:rsidR="000903BA" w:rsidRPr="00713BCB" w:rsidRDefault="000903BA" w:rsidP="000903BA">
      <w:pPr>
        <w:pStyle w:val="Standardabsatz"/>
        <w:rPr>
          <w:lang w:val="en-US"/>
        </w:rPr>
      </w:pPr>
      <w:r>
        <w:rPr>
          <w:lang w:val="fr-FR"/>
        </w:rPr>
        <w:t>Par rapport à un guidage par fil, ce procédé comporte plusieurs avantages. L’équipe de pose sur la Ruta 5 peut se déplacer librement sur le chantier et les machines ont plus de place pour les manœuvres. Par ailleurs, les camions qui livrent le béton n’ont pas à faire attention aux fils de guidage. Ils peuvent passer partout devant les machines à coffrage glissant et décharger le matériau. Ils n’ont plus non plus besoin de contourner le fil pour quitter le chantier, et gagnent donc du temps. Outre l'optimisation de la logistique de chantier, les responsables évoquent également le bon IRI qu’ils obtiennent avec ce système. L’indice de rugosité international (IRI) décrit la planéité de la surface d’une chaussée.</w:t>
      </w:r>
    </w:p>
    <w:p w14:paraId="5C57A69E" w14:textId="7D3CB9F2" w:rsidR="00771705" w:rsidRPr="00713BCB" w:rsidRDefault="00771705" w:rsidP="00771705">
      <w:pPr>
        <w:pStyle w:val="Absatzberschrift"/>
        <w:rPr>
          <w:lang w:val="en-US"/>
        </w:rPr>
      </w:pPr>
      <w:r>
        <w:rPr>
          <w:bCs/>
          <w:lang w:val="fr-FR"/>
        </w:rPr>
        <w:t>Paramètres du chantier</w:t>
      </w:r>
    </w:p>
    <w:p w14:paraId="7D8DC800" w14:textId="77777777" w:rsidR="00445D91" w:rsidRPr="00713BCB" w:rsidRDefault="00445D91" w:rsidP="00445D91">
      <w:pPr>
        <w:pStyle w:val="Teaserhead"/>
        <w:jc w:val="left"/>
        <w:rPr>
          <w:b w:val="0"/>
          <w:bCs/>
          <w:lang w:val="en-US"/>
        </w:rPr>
      </w:pPr>
      <w:r>
        <w:rPr>
          <w:b w:val="0"/>
          <w:lang w:val="fr-FR"/>
        </w:rPr>
        <w:t>Agrandissement de la route existante pour le passage d’une à deux voies. Construction de la nouvelle chaussée et réparation du revêtement routier existant.</w:t>
      </w:r>
      <w:r>
        <w:rPr>
          <w:b w:val="0"/>
          <w:lang w:val="fr-FR"/>
        </w:rPr>
        <w:br/>
      </w:r>
    </w:p>
    <w:p w14:paraId="7DC25F38" w14:textId="0DAB3E9D" w:rsidR="00771705" w:rsidRPr="00713BCB" w:rsidRDefault="00771705" w:rsidP="00771705">
      <w:pPr>
        <w:pStyle w:val="Teaserhead"/>
        <w:rPr>
          <w:lang w:val="en-US"/>
        </w:rPr>
      </w:pPr>
      <w:r>
        <w:rPr>
          <w:bCs/>
          <w:lang w:val="fr-FR"/>
        </w:rPr>
        <w:t>Machines mises en œuvre</w:t>
      </w:r>
    </w:p>
    <w:p w14:paraId="6D3819B7" w14:textId="0164B8DF" w:rsidR="008B26C6" w:rsidRPr="00713BCB" w:rsidRDefault="00771705" w:rsidP="00771705">
      <w:pPr>
        <w:pStyle w:val="Standardabsatz"/>
        <w:jc w:val="left"/>
        <w:rPr>
          <w:lang w:val="en-US"/>
        </w:rPr>
      </w:pPr>
      <w:r>
        <w:rPr>
          <w:lang w:val="fr-FR"/>
        </w:rPr>
        <w:t xml:space="preserve">Wirtgen : </w:t>
      </w:r>
      <w:r>
        <w:rPr>
          <w:lang w:val="fr-FR"/>
        </w:rPr>
        <w:br/>
        <w:t>3 machines à coffrage glissant SP 64 avec DBI et STBI</w:t>
      </w:r>
      <w:r>
        <w:rPr>
          <w:lang w:val="fr-FR"/>
        </w:rPr>
        <w:br/>
        <w:t>2 machines de traitement de surface TCM 180</w:t>
      </w:r>
      <w:r>
        <w:rPr>
          <w:lang w:val="fr-FR"/>
        </w:rPr>
        <w:br/>
      </w:r>
      <w:r>
        <w:rPr>
          <w:lang w:val="fr-FR"/>
        </w:rPr>
        <w:br/>
        <w:t>John Deere</w:t>
      </w:r>
      <w:proofErr w:type="gramStart"/>
      <w:r>
        <w:rPr>
          <w:lang w:val="fr-FR"/>
        </w:rPr>
        <w:t> :chargeuse</w:t>
      </w:r>
      <w:proofErr w:type="gramEnd"/>
      <w:r>
        <w:rPr>
          <w:lang w:val="fr-FR"/>
        </w:rPr>
        <w:t xml:space="preserve"> compacte JD 318G</w:t>
      </w:r>
    </w:p>
    <w:p w14:paraId="39182948" w14:textId="2FE53997" w:rsidR="00B94B16" w:rsidRPr="00713BCB" w:rsidRDefault="00771705" w:rsidP="00612E24">
      <w:pPr>
        <w:pStyle w:val="Standardabsatz"/>
        <w:jc w:val="left"/>
        <w:rPr>
          <w:b/>
          <w:bCs/>
          <w:lang w:val="en-US"/>
        </w:rPr>
      </w:pPr>
      <w:r>
        <w:rPr>
          <w:b/>
          <w:bCs/>
          <w:lang w:val="fr-FR"/>
        </w:rPr>
        <w:t>Travaux de construction</w:t>
      </w:r>
      <w:r>
        <w:rPr>
          <w:lang w:val="fr-FR"/>
        </w:rPr>
        <w:br/>
        <w:t>Longueur totale : 75 km</w:t>
      </w:r>
      <w:r>
        <w:rPr>
          <w:lang w:val="fr-FR"/>
        </w:rPr>
        <w:br/>
        <w:t>Section 1 : Peaje Mendoza – City of Florida : 30 km</w:t>
      </w:r>
      <w:r>
        <w:rPr>
          <w:lang w:val="fr-FR"/>
        </w:rPr>
        <w:br/>
        <w:t>Section 2 : City of Florida - Sarandí Grande : 45 km</w:t>
      </w:r>
    </w:p>
    <w:p w14:paraId="6652737F" w14:textId="52A56395" w:rsidR="00B94B16" w:rsidRPr="00713BCB" w:rsidRDefault="00B94B16" w:rsidP="00B94B16">
      <w:pPr>
        <w:pStyle w:val="Standardabsatz"/>
        <w:jc w:val="left"/>
        <w:rPr>
          <w:szCs w:val="22"/>
          <w:lang w:val="en-US"/>
        </w:rPr>
      </w:pPr>
      <w:r>
        <w:rPr>
          <w:szCs w:val="22"/>
          <w:lang w:val="fr-FR"/>
        </w:rPr>
        <w:t xml:space="preserve">Largeur de pose totale : 15,6 m </w:t>
      </w:r>
      <w:r>
        <w:rPr>
          <w:szCs w:val="22"/>
          <w:lang w:val="fr-FR"/>
        </w:rPr>
        <w:br/>
        <w:t xml:space="preserve">Largeur de pose par chaussée : 3,9 m à 5 m </w:t>
      </w:r>
      <w:r>
        <w:rPr>
          <w:szCs w:val="22"/>
          <w:lang w:val="fr-FR"/>
        </w:rPr>
        <w:br/>
        <w:t xml:space="preserve">Hauteur de pose : 220mm </w:t>
      </w:r>
      <w:r>
        <w:rPr>
          <w:szCs w:val="22"/>
          <w:lang w:val="fr-FR"/>
        </w:rPr>
        <w:br/>
        <w:t xml:space="preserve">Insertion de goujons intégrée à la machine : goujons, armatures longitudinales </w:t>
      </w:r>
    </w:p>
    <w:p w14:paraId="53AB6EEF" w14:textId="77777777" w:rsidR="00230B87" w:rsidRPr="00713BCB" w:rsidRDefault="00230B87" w:rsidP="00230B87">
      <w:pPr>
        <w:pStyle w:val="Standardabsatz"/>
        <w:rPr>
          <w:lang w:val="en-US"/>
        </w:rPr>
      </w:pPr>
    </w:p>
    <w:p w14:paraId="64ABBB85" w14:textId="024AAF51" w:rsidR="007C2FEE" w:rsidRPr="00713BCB" w:rsidRDefault="007C2FEE" w:rsidP="00BC487A">
      <w:pPr>
        <w:rPr>
          <w:b/>
          <w:bCs/>
          <w:sz w:val="22"/>
          <w:szCs w:val="22"/>
          <w:lang w:val="en-US"/>
        </w:rPr>
      </w:pPr>
      <w:r>
        <w:rPr>
          <w:b/>
          <w:bCs/>
          <w:sz w:val="22"/>
          <w:szCs w:val="22"/>
          <w:lang w:val="fr-FR"/>
        </w:rPr>
        <w:t>Photos :</w:t>
      </w:r>
    </w:p>
    <w:p w14:paraId="06345839" w14:textId="77777777" w:rsidR="00BC487A" w:rsidRPr="00713BCB" w:rsidRDefault="00BC487A" w:rsidP="00BC487A">
      <w:pPr>
        <w:rPr>
          <w:rFonts w:eastAsiaTheme="minorHAnsi" w:cstheme="minorBidi"/>
          <w:b/>
          <w:sz w:val="22"/>
          <w:szCs w:val="24"/>
          <w:lang w:val="en-US"/>
        </w:rPr>
      </w:pPr>
    </w:p>
    <w:p w14:paraId="5BFBF390" w14:textId="10D6FBF7" w:rsidR="007C2FEE" w:rsidRPr="00713BCB" w:rsidRDefault="007C2FEE" w:rsidP="00BA7BC5">
      <w:pPr>
        <w:pStyle w:val="BUbold"/>
        <w:rPr>
          <w:b w:val="0"/>
          <w:bCs/>
          <w:lang w:val="en-US"/>
        </w:rPr>
      </w:pPr>
      <w:r>
        <w:rPr>
          <w:b w:val="0"/>
          <w:noProof/>
          <w:lang w:val="fr-FR"/>
        </w:rPr>
        <w:drawing>
          <wp:inline distT="0" distB="0" distL="0" distR="0" wp14:anchorId="622CC7EE" wp14:editId="01F700DB">
            <wp:extent cx="2404800" cy="1351268"/>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51268"/>
                    </a:xfrm>
                    <a:prstGeom prst="rect">
                      <a:avLst/>
                    </a:prstGeom>
                    <a:noFill/>
                    <a:ln>
                      <a:noFill/>
                    </a:ln>
                  </pic:spPr>
                </pic:pic>
              </a:graphicData>
            </a:graphic>
          </wp:inline>
        </w:drawing>
      </w:r>
      <w:r>
        <w:rPr>
          <w:b w:val="0"/>
          <w:lang w:val="fr-FR"/>
        </w:rPr>
        <w:br/>
      </w:r>
      <w:proofErr w:type="gramStart"/>
      <w:r>
        <w:rPr>
          <w:bCs/>
          <w:lang w:val="fr-FR"/>
        </w:rPr>
        <w:t>w</w:t>
      </w:r>
      <w:proofErr w:type="gramEnd"/>
      <w:r>
        <w:rPr>
          <w:bCs/>
          <w:lang w:val="fr-FR"/>
        </w:rPr>
        <w:t>_pic_js_montevideo_2023_sp64_0041</w:t>
      </w:r>
      <w:r>
        <w:rPr>
          <w:b w:val="0"/>
          <w:lang w:val="fr-FR"/>
        </w:rPr>
        <w:br/>
        <w:t xml:space="preserve">Lors de l’élargissement de la </w:t>
      </w:r>
      <w:proofErr w:type="spellStart"/>
      <w:r>
        <w:rPr>
          <w:b w:val="0"/>
          <w:lang w:val="fr-FR"/>
        </w:rPr>
        <w:t>Ruta</w:t>
      </w:r>
      <w:proofErr w:type="spellEnd"/>
      <w:r>
        <w:rPr>
          <w:b w:val="0"/>
          <w:lang w:val="fr-FR"/>
        </w:rPr>
        <w:t xml:space="preserve"> 5, l’une des cinq plus grandes routes nationales d’Uruguay, des machines à coffrage glissant et des machines de traitement de surface de Wirtgen ont assuré la pose de béton de haut précision. </w:t>
      </w:r>
    </w:p>
    <w:p w14:paraId="10AF8B22" w14:textId="77777777" w:rsidR="000D357E" w:rsidRPr="00713BCB" w:rsidRDefault="000D357E" w:rsidP="000D357E">
      <w:pPr>
        <w:pStyle w:val="BUnormal"/>
        <w:rPr>
          <w:lang w:val="en-US"/>
        </w:rPr>
      </w:pPr>
    </w:p>
    <w:p w14:paraId="6BBBB646" w14:textId="3A4B5432" w:rsidR="007C2FEE" w:rsidRPr="00713BCB" w:rsidRDefault="007C2FEE" w:rsidP="007C2FEE">
      <w:pPr>
        <w:pStyle w:val="BUbold"/>
        <w:rPr>
          <w:lang w:val="en-US"/>
        </w:rPr>
      </w:pPr>
      <w:r>
        <w:rPr>
          <w:b w:val="0"/>
          <w:noProof/>
          <w:lang w:val="fr-FR"/>
        </w:rPr>
        <w:lastRenderedPageBreak/>
        <w:drawing>
          <wp:inline distT="0" distB="0" distL="0" distR="0" wp14:anchorId="4C88ECF6" wp14:editId="077A82C2">
            <wp:extent cx="2404800" cy="1351268"/>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1351268"/>
                    </a:xfrm>
                    <a:prstGeom prst="rect">
                      <a:avLst/>
                    </a:prstGeom>
                    <a:noFill/>
                    <a:ln>
                      <a:noFill/>
                    </a:ln>
                  </pic:spPr>
                </pic:pic>
              </a:graphicData>
            </a:graphic>
          </wp:inline>
        </w:drawing>
      </w:r>
      <w:r>
        <w:rPr>
          <w:b w:val="0"/>
          <w:lang w:val="fr-FR"/>
        </w:rPr>
        <w:br/>
      </w:r>
      <w:proofErr w:type="gramStart"/>
      <w:r>
        <w:rPr>
          <w:bCs/>
          <w:lang w:val="fr-FR"/>
        </w:rPr>
        <w:t>w</w:t>
      </w:r>
      <w:proofErr w:type="gramEnd"/>
      <w:r>
        <w:rPr>
          <w:bCs/>
          <w:lang w:val="fr-FR"/>
        </w:rPr>
        <w:t>_pic_js_montevideo_2023_SP64_0005</w:t>
      </w:r>
    </w:p>
    <w:p w14:paraId="1622A5FE" w14:textId="77777777" w:rsidR="00103F20" w:rsidRPr="00713BCB" w:rsidRDefault="00A930D1" w:rsidP="00E020B4">
      <w:pPr>
        <w:pStyle w:val="BUnormal"/>
        <w:rPr>
          <w:lang w:val="en-US"/>
        </w:rPr>
      </w:pPr>
      <w:r>
        <w:rPr>
          <w:lang w:val="fr-FR"/>
        </w:rPr>
        <w:t xml:space="preserve">Grâce au dispositif d'insertion de goujons intégré, le SP 64 pose les goujons et les armatures longitudinales de façon automatisée et précise, après que la chargeuse compact JD 318G a déposé de manière homogène le béton en amont de la machine à coffrage glissant.  </w:t>
      </w:r>
    </w:p>
    <w:p w14:paraId="4941D6EA" w14:textId="4DD9759A" w:rsidR="00022EC1" w:rsidRDefault="007C2FEE" w:rsidP="000E4862">
      <w:pPr>
        <w:pStyle w:val="BUbold"/>
        <w:rPr>
          <w:b w:val="0"/>
          <w:bCs/>
        </w:rPr>
      </w:pPr>
      <w:r>
        <w:rPr>
          <w:b w:val="0"/>
          <w:lang w:val="fr-FR"/>
        </w:rPr>
        <w:br/>
      </w:r>
      <w:r>
        <w:rPr>
          <w:b w:val="0"/>
          <w:noProof/>
          <w:lang w:val="fr-FR"/>
        </w:rPr>
        <w:drawing>
          <wp:inline distT="0" distB="0" distL="0" distR="0" wp14:anchorId="6AF72915" wp14:editId="76766B05">
            <wp:extent cx="2404800" cy="1351268"/>
            <wp:effectExtent l="0" t="0" r="0" b="0"/>
            <wp:docPr id="2078438314" name="Grafik 2078438314" descr="Une photo contenant le ciel, l’extérieur, un arbre. 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8438314" name="Grafik 2078438314" descr="Ein Bild, das Himmel, draußen, Wolke, Baum enthält.&#10;&#10;Automatisch generierte Beschreibung"/>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04800" cy="1351268"/>
                    </a:xfrm>
                    <a:prstGeom prst="rect">
                      <a:avLst/>
                    </a:prstGeom>
                    <a:noFill/>
                    <a:ln>
                      <a:noFill/>
                    </a:ln>
                  </pic:spPr>
                </pic:pic>
              </a:graphicData>
            </a:graphic>
          </wp:inline>
        </w:drawing>
      </w:r>
      <w:r>
        <w:rPr>
          <w:b w:val="0"/>
          <w:lang w:val="fr-FR"/>
        </w:rPr>
        <w:br/>
      </w:r>
      <w:proofErr w:type="gramStart"/>
      <w:r>
        <w:rPr>
          <w:bCs/>
          <w:lang w:val="fr-FR"/>
        </w:rPr>
        <w:t>w</w:t>
      </w:r>
      <w:proofErr w:type="gramEnd"/>
      <w:r>
        <w:rPr>
          <w:bCs/>
          <w:lang w:val="fr-FR"/>
        </w:rPr>
        <w:t>_pic_js_montevideo_2023_sp64_0039</w:t>
      </w:r>
      <w:r>
        <w:rPr>
          <w:b w:val="0"/>
          <w:lang w:val="fr-FR"/>
        </w:rPr>
        <w:br/>
        <w:t>La machine de traitement de surface TCM 180  suit directement le SP 64 et assure la structure de surface désirée pour le revêtement en béton. L’application simultanée d'agent de dispersion empêche en outre le séchage prématuré de la surface et des arêtes.</w:t>
      </w:r>
    </w:p>
    <w:p w14:paraId="1885D55E" w14:textId="77777777" w:rsidR="00425FCB" w:rsidRPr="00425FCB" w:rsidRDefault="00425FCB" w:rsidP="00425FCB">
      <w:pPr>
        <w:pStyle w:val="BUnormal"/>
      </w:pPr>
    </w:p>
    <w:p w14:paraId="37C31272" w14:textId="08003AFF" w:rsidR="00425FCB" w:rsidRPr="00291FEF" w:rsidRDefault="008E5008" w:rsidP="00425FCB">
      <w:pPr>
        <w:pStyle w:val="BUbold"/>
        <w:rPr>
          <w:b w:val="0"/>
          <w:noProof/>
        </w:rPr>
      </w:pPr>
      <w:r>
        <w:rPr>
          <w:bCs/>
          <w:noProof/>
          <w:lang w:val="fr-FR"/>
        </w:rPr>
        <w:drawing>
          <wp:inline distT="0" distB="0" distL="0" distR="0" wp14:anchorId="0BE40BC7" wp14:editId="451B0B7E">
            <wp:extent cx="2402344" cy="1351268"/>
            <wp:effectExtent l="0" t="0" r="0" b="1905"/>
            <wp:docPr id="188047633" name="Grafik 1880476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047633" name="Grafik 188047633"/>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402344" cy="1351268"/>
                    </a:xfrm>
                    <a:prstGeom prst="rect">
                      <a:avLst/>
                    </a:prstGeom>
                    <a:noFill/>
                    <a:ln>
                      <a:noFill/>
                    </a:ln>
                  </pic:spPr>
                </pic:pic>
              </a:graphicData>
            </a:graphic>
          </wp:inline>
        </w:drawing>
      </w:r>
    </w:p>
    <w:p w14:paraId="51A76DCA" w14:textId="77777777" w:rsidR="00425FCB" w:rsidRPr="00713BCB" w:rsidRDefault="00425FCB" w:rsidP="00425FCB">
      <w:pPr>
        <w:pStyle w:val="BUbold"/>
        <w:rPr>
          <w:bCs/>
          <w:noProof/>
          <w:lang w:val="en-US"/>
        </w:rPr>
      </w:pPr>
      <w:r>
        <w:rPr>
          <w:bCs/>
          <w:noProof/>
          <w:lang w:val="fr-FR"/>
        </w:rPr>
        <w:t>w_pic_js_montevideo_2023_sp64_0045</w:t>
      </w:r>
    </w:p>
    <w:p w14:paraId="1F2BB813" w14:textId="2A818484" w:rsidR="00425FCB" w:rsidRPr="00713BCB" w:rsidRDefault="00425FCB" w:rsidP="00425FCB">
      <w:pPr>
        <w:pStyle w:val="BUbold"/>
        <w:rPr>
          <w:b w:val="0"/>
          <w:noProof/>
          <w:lang w:val="fr-FR"/>
        </w:rPr>
      </w:pPr>
      <w:r>
        <w:rPr>
          <w:b w:val="0"/>
          <w:noProof/>
          <w:lang w:val="fr-FR"/>
        </w:rPr>
        <w:t>Jahuer Flores, contremaître chez Berkes-Pietroboni, explique les avantages du guidage 3D sans fil : « C’est plus facile de guider la machine en suivant les plans et le travail en lui-même est plus agréable, puisqu’il y a plus de place sur le chantier. Nous avons également eu de bonnes expériences avec le système 3D en termes d’IRI. » </w:t>
      </w:r>
    </w:p>
    <w:p w14:paraId="2B4B8033" w14:textId="77777777" w:rsidR="008B26C6" w:rsidRPr="00713BCB" w:rsidRDefault="008B26C6" w:rsidP="00A96B2E">
      <w:pPr>
        <w:pStyle w:val="Note"/>
        <w:rPr>
          <w:lang w:val="fr-FR"/>
        </w:rPr>
      </w:pPr>
    </w:p>
    <w:p w14:paraId="67E83AFA" w14:textId="47769554" w:rsidR="00980313" w:rsidRPr="00713BCB" w:rsidRDefault="00714D6B" w:rsidP="00A96B2E">
      <w:pPr>
        <w:pStyle w:val="Note"/>
        <w:rPr>
          <w:lang w:val="en-US"/>
        </w:rPr>
      </w:pPr>
      <w:r>
        <w:rPr>
          <w:iCs/>
          <w:lang w:val="fr-FR"/>
        </w:rPr>
        <w:t>Attention : ces photos sont destinées uniquement à une première visualisation. Pour une reproduction dans vos publications, merci d’utiliser les photos en résolution de 300 dpi disponibles dans le téléchargement ci-joint.</w:t>
      </w:r>
    </w:p>
    <w:p w14:paraId="0D8FDCDA" w14:textId="77777777" w:rsidR="008B26C6" w:rsidRPr="00713BCB" w:rsidRDefault="008B26C6">
      <w:pPr>
        <w:rPr>
          <w:rFonts w:eastAsiaTheme="minorHAnsi" w:cstheme="minorBidi"/>
          <w:b/>
          <w:sz w:val="22"/>
          <w:szCs w:val="24"/>
          <w:lang w:val="en-US"/>
        </w:rPr>
      </w:pPr>
      <w:r>
        <w:rPr>
          <w:lang w:val="fr-FR"/>
        </w:rPr>
        <w:br w:type="page"/>
      </w:r>
    </w:p>
    <w:p w14:paraId="0F27FC03" w14:textId="75F33046" w:rsidR="00B94B16" w:rsidRPr="00713BCB" w:rsidRDefault="00B94B16" w:rsidP="00B94B16">
      <w:pPr>
        <w:pStyle w:val="Teaserhead"/>
        <w:rPr>
          <w:lang w:val="en-US"/>
        </w:rPr>
      </w:pPr>
      <w:r>
        <w:rPr>
          <w:bCs/>
          <w:lang w:val="fr-FR"/>
        </w:rPr>
        <w:lastRenderedPageBreak/>
        <w:t>Vidéo :</w:t>
      </w:r>
    </w:p>
    <w:p w14:paraId="500327D4" w14:textId="77777777" w:rsidR="00B94B16" w:rsidRPr="00713BCB" w:rsidRDefault="00B94B16" w:rsidP="00B94B16">
      <w:pPr>
        <w:pStyle w:val="Teaserhead"/>
        <w:rPr>
          <w:lang w:val="en-US"/>
        </w:rPr>
      </w:pPr>
    </w:p>
    <w:p w14:paraId="576BDAC2" w14:textId="5E6FC83B" w:rsidR="00B94B16" w:rsidRPr="00713BCB" w:rsidRDefault="00B94B16" w:rsidP="00B94B16">
      <w:pPr>
        <w:pStyle w:val="Teaserhead"/>
        <w:rPr>
          <w:color w:val="0070C0"/>
          <w:sz w:val="20"/>
          <w:szCs w:val="20"/>
          <w:u w:val="single"/>
          <w:lang w:val="en-US"/>
        </w:rPr>
      </w:pPr>
      <w:r>
        <w:rPr>
          <w:b w:val="0"/>
          <w:noProof/>
          <w:lang w:val="fr-FR"/>
        </w:rPr>
        <w:drawing>
          <wp:inline distT="0" distB="0" distL="0" distR="0" wp14:anchorId="57893D9B" wp14:editId="0F70FB2E">
            <wp:extent cx="2404800" cy="1352700"/>
            <wp:effectExtent l="0" t="0" r="0" b="0"/>
            <wp:docPr id="885882716"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5882716" name="Grafik 7"/>
                    <pic:cNvPicPr/>
                  </pic:nvPicPr>
                  <pic:blipFill>
                    <a:blip r:embed="rId12" cstate="hqprint">
                      <a:extLst>
                        <a:ext uri="{28A0092B-C50C-407E-A947-70E740481C1C}">
                          <a14:useLocalDpi xmlns:a14="http://schemas.microsoft.com/office/drawing/2010/main"/>
                        </a:ext>
                      </a:extLst>
                    </a:blip>
                    <a:stretch>
                      <a:fillRect/>
                    </a:stretch>
                  </pic:blipFill>
                  <pic:spPr>
                    <a:xfrm>
                      <a:off x="0" y="0"/>
                      <a:ext cx="2404800" cy="1352700"/>
                    </a:xfrm>
                    <a:prstGeom prst="rect">
                      <a:avLst/>
                    </a:prstGeom>
                  </pic:spPr>
                </pic:pic>
              </a:graphicData>
            </a:graphic>
          </wp:inline>
        </w:drawing>
      </w:r>
      <w:r>
        <w:rPr>
          <w:bCs/>
          <w:lang w:val="fr-FR"/>
        </w:rPr>
        <w:t xml:space="preserve"> </w:t>
      </w:r>
      <w:commentRangeStart w:id="0"/>
      <w:r w:rsidRPr="00713BCB">
        <w:fldChar w:fldCharType="begin"/>
      </w:r>
      <w:r w:rsidR="00713BCB" w:rsidRPr="00F4241F">
        <w:rPr>
          <w:color w:val="0070C0"/>
          <w:u w:val="single"/>
          <w:lang w:val="en-US"/>
        </w:rPr>
        <w:instrText>HYPERLINK "https://youtu.be/EvRSszW9IxQ"</w:instrText>
      </w:r>
      <w:r w:rsidRPr="00713BCB">
        <w:fldChar w:fldCharType="separate"/>
      </w:r>
      <w:r w:rsidRPr="00713BCB">
        <w:rPr>
          <w:rStyle w:val="Hyperlink"/>
          <w:bCs/>
          <w:color w:val="0070C0"/>
          <w:sz w:val="20"/>
          <w:szCs w:val="20"/>
          <w:lang w:val="fr-FR"/>
        </w:rPr>
        <w:t>Veuillez cliquer ici pour visionner la vidéo</w:t>
      </w:r>
      <w:r w:rsidRPr="00713BCB">
        <w:rPr>
          <w:rStyle w:val="Hyperlink"/>
          <w:bCs/>
          <w:color w:val="0070C0"/>
          <w:sz w:val="20"/>
          <w:szCs w:val="20"/>
          <w:lang w:val="fr-FR"/>
        </w:rPr>
        <w:fldChar w:fldCharType="end"/>
      </w:r>
      <w:r w:rsidRPr="00713BCB">
        <w:rPr>
          <w:bCs/>
          <w:color w:val="0070C0"/>
          <w:sz w:val="20"/>
          <w:szCs w:val="20"/>
          <w:u w:val="single"/>
          <w:lang w:val="fr-FR"/>
        </w:rPr>
        <w:t>.</w:t>
      </w:r>
      <w:commentRangeEnd w:id="0"/>
      <w:r w:rsidRPr="00713BCB">
        <w:rPr>
          <w:b w:val="0"/>
          <w:color w:val="0070C0"/>
          <w:u w:val="single"/>
          <w:lang w:val="fr-FR"/>
        </w:rPr>
        <w:commentReference w:id="0"/>
      </w:r>
    </w:p>
    <w:p w14:paraId="368AF36F" w14:textId="77777777" w:rsidR="008B26C6" w:rsidRPr="00713BCB" w:rsidRDefault="008B26C6" w:rsidP="00B409DF">
      <w:pPr>
        <w:pStyle w:val="Absatzberschrift"/>
        <w:rPr>
          <w:iCs/>
          <w:lang w:val="en-US"/>
        </w:rPr>
      </w:pPr>
    </w:p>
    <w:bookmarkStart w:id="1" w:name="_Hlk177486135"/>
    <w:p w14:paraId="07415B82" w14:textId="26E2D638" w:rsidR="008B26C6" w:rsidRPr="00713BCB" w:rsidRDefault="00734DA4" w:rsidP="00B409DF">
      <w:pPr>
        <w:pStyle w:val="Absatzberschrift"/>
        <w:rPr>
          <w:bCs/>
          <w:iCs/>
          <w:color w:val="0070C0"/>
          <w:u w:val="single"/>
          <w:lang w:val="en-US"/>
        </w:rPr>
      </w:pPr>
      <w:r w:rsidRPr="00713BCB">
        <w:rPr>
          <w:bCs/>
          <w:color w:val="0070C0"/>
          <w:u w:val="single"/>
          <w:lang w:val="fr-FR"/>
        </w:rPr>
        <w:fldChar w:fldCharType="begin"/>
      </w:r>
      <w:r w:rsidRPr="00713BCB">
        <w:rPr>
          <w:bCs/>
          <w:color w:val="0070C0"/>
          <w:u w:val="single"/>
          <w:lang w:val="fr-FR"/>
        </w:rPr>
        <w:instrText>HYPERLINK "https://www.youtube.com/@WirtgenGroup"</w:instrText>
      </w:r>
      <w:r w:rsidRPr="00713BCB">
        <w:rPr>
          <w:bCs/>
          <w:color w:val="0070C0"/>
          <w:u w:val="single"/>
          <w:lang w:val="fr-FR"/>
        </w:rPr>
      </w:r>
      <w:r w:rsidRPr="00713BCB">
        <w:rPr>
          <w:bCs/>
          <w:color w:val="0070C0"/>
          <w:u w:val="single"/>
          <w:lang w:val="fr-FR"/>
        </w:rPr>
        <w:fldChar w:fldCharType="separate"/>
      </w:r>
      <w:r w:rsidRPr="00713BCB">
        <w:rPr>
          <w:bCs/>
          <w:color w:val="0070C0"/>
          <w:sz w:val="20"/>
          <w:szCs w:val="20"/>
          <w:u w:val="single"/>
          <w:lang w:val="fr-FR"/>
        </w:rPr>
        <w:t>Vous trouverez plus de vidéos sur la chaîne YouTube de Wirtgen Group</w:t>
      </w:r>
      <w:r w:rsidRPr="00713BCB">
        <w:rPr>
          <w:bCs/>
          <w:color w:val="0070C0"/>
          <w:sz w:val="20"/>
          <w:szCs w:val="20"/>
          <w:u w:val="single"/>
          <w:lang w:val="fr-FR"/>
        </w:rPr>
        <w:fldChar w:fldCharType="end"/>
      </w:r>
      <w:r w:rsidR="00713BCB">
        <w:rPr>
          <w:bCs/>
          <w:color w:val="0070C0"/>
          <w:sz w:val="20"/>
          <w:szCs w:val="20"/>
          <w:u w:val="single"/>
          <w:lang w:val="fr-FR"/>
        </w:rPr>
        <w:t>.</w:t>
      </w:r>
    </w:p>
    <w:bookmarkEnd w:id="1"/>
    <w:p w14:paraId="135CFD61" w14:textId="77777777" w:rsidR="008B26C6" w:rsidRPr="00713BCB" w:rsidRDefault="008B26C6" w:rsidP="00B409DF">
      <w:pPr>
        <w:pStyle w:val="Absatzberschrift"/>
        <w:rPr>
          <w:b w:val="0"/>
          <w:bCs/>
          <w:iCs/>
          <w:lang w:val="en-US"/>
        </w:rPr>
      </w:pPr>
    </w:p>
    <w:p w14:paraId="2CB7353E" w14:textId="77777777" w:rsidR="00734DA4" w:rsidRPr="00713BCB" w:rsidRDefault="00734DA4" w:rsidP="00B409DF">
      <w:pPr>
        <w:pStyle w:val="Absatzberschrift"/>
        <w:rPr>
          <w:b w:val="0"/>
          <w:bCs/>
          <w:iCs/>
          <w:lang w:val="en-US"/>
        </w:rPr>
      </w:pPr>
    </w:p>
    <w:p w14:paraId="249FB0A6" w14:textId="77777777" w:rsidR="00734DA4" w:rsidRPr="00713BCB" w:rsidRDefault="00734DA4" w:rsidP="00734DA4">
      <w:pPr>
        <w:pStyle w:val="Standardabsatz"/>
        <w:rPr>
          <w:bCs/>
          <w:lang w:val="en-US"/>
        </w:rPr>
      </w:pPr>
    </w:p>
    <w:p w14:paraId="717825D0" w14:textId="189F2766" w:rsidR="00B409DF" w:rsidRPr="00F4241F" w:rsidRDefault="00B409DF" w:rsidP="00B409DF">
      <w:pPr>
        <w:pStyle w:val="Absatzberschrift"/>
        <w:rPr>
          <w:iCs/>
        </w:rPr>
      </w:pPr>
      <w:r>
        <w:rPr>
          <w:bCs/>
          <w:lang w:val="fr-FR"/>
        </w:rPr>
        <w:t>VOUS OBTIENDREZ DE PLUS AMPLES INFORMATIONS AUPRÈS DE :</w:t>
      </w:r>
    </w:p>
    <w:p w14:paraId="294F8CA8" w14:textId="77777777" w:rsidR="00B409DF" w:rsidRPr="00F4241F" w:rsidRDefault="00B409DF" w:rsidP="00B409DF">
      <w:pPr>
        <w:pStyle w:val="Absatzberschrift"/>
        <w:rPr>
          <w:b w:val="0"/>
          <w:bCs/>
        </w:rPr>
      </w:pPr>
    </w:p>
    <w:p w14:paraId="6BD3D8AD" w14:textId="77777777" w:rsidR="00B409DF" w:rsidRPr="00291FEF" w:rsidRDefault="00B409DF" w:rsidP="00B409DF">
      <w:pPr>
        <w:pStyle w:val="Absatzberschrift"/>
        <w:rPr>
          <w:b w:val="0"/>
          <w:bCs/>
          <w:szCs w:val="22"/>
        </w:rPr>
      </w:pPr>
      <w:r>
        <w:rPr>
          <w:b w:val="0"/>
          <w:lang w:val="fr-FR"/>
        </w:rPr>
        <w:t>WIRTGEN GROUP</w:t>
      </w:r>
    </w:p>
    <w:p w14:paraId="392C6846" w14:textId="77777777" w:rsidR="00B409DF" w:rsidRPr="00291FEF" w:rsidRDefault="00B409DF" w:rsidP="00B409DF">
      <w:pPr>
        <w:pStyle w:val="Fuzeile1"/>
      </w:pPr>
      <w:r>
        <w:rPr>
          <w:bCs w:val="0"/>
          <w:iCs w:val="0"/>
          <w:lang w:val="fr-FR"/>
        </w:rPr>
        <w:t>Public Relations</w:t>
      </w:r>
    </w:p>
    <w:p w14:paraId="77A90FFB" w14:textId="77777777" w:rsidR="00B409DF" w:rsidRPr="00291FEF" w:rsidRDefault="00B409DF" w:rsidP="00B409DF">
      <w:pPr>
        <w:pStyle w:val="Fuzeile1"/>
      </w:pPr>
      <w:r>
        <w:rPr>
          <w:bCs w:val="0"/>
          <w:iCs w:val="0"/>
          <w:lang w:val="fr-FR"/>
        </w:rPr>
        <w:t>Reinhard-Wirtgen-Straße 2</w:t>
      </w:r>
    </w:p>
    <w:p w14:paraId="2BD7061F" w14:textId="77777777" w:rsidR="00B409DF" w:rsidRPr="00291FEF" w:rsidRDefault="00B409DF" w:rsidP="00B409DF">
      <w:pPr>
        <w:pStyle w:val="Fuzeile1"/>
      </w:pPr>
      <w:r>
        <w:rPr>
          <w:bCs w:val="0"/>
          <w:iCs w:val="0"/>
          <w:lang w:val="fr-FR"/>
        </w:rPr>
        <w:t>53578 Windhagen</w:t>
      </w:r>
    </w:p>
    <w:p w14:paraId="7312A980" w14:textId="77777777" w:rsidR="00B409DF" w:rsidRPr="00291FEF" w:rsidRDefault="00B409DF" w:rsidP="00B409DF">
      <w:pPr>
        <w:pStyle w:val="Fuzeile1"/>
      </w:pPr>
      <w:r>
        <w:rPr>
          <w:bCs w:val="0"/>
          <w:iCs w:val="0"/>
          <w:lang w:val="fr-FR"/>
        </w:rPr>
        <w:t>Allemagne</w:t>
      </w:r>
    </w:p>
    <w:p w14:paraId="2DFD9654" w14:textId="77777777" w:rsidR="00B409DF" w:rsidRPr="00291FEF" w:rsidRDefault="00B409DF" w:rsidP="00B409DF">
      <w:pPr>
        <w:pStyle w:val="Fuzeile1"/>
      </w:pPr>
    </w:p>
    <w:p w14:paraId="747CCDAF" w14:textId="423CBB07" w:rsidR="00B409DF" w:rsidRPr="00713BCB" w:rsidRDefault="00B409DF" w:rsidP="00B409DF">
      <w:pPr>
        <w:pStyle w:val="Fuzeile1"/>
        <w:rPr>
          <w:rFonts w:ascii="Times New Roman" w:hAnsi="Times New Roman" w:cs="Times New Roman"/>
        </w:rPr>
      </w:pPr>
      <w:r>
        <w:rPr>
          <w:bCs w:val="0"/>
          <w:iCs w:val="0"/>
          <w:lang w:val="fr-FR"/>
        </w:rPr>
        <w:t xml:space="preserve">Téléphone : +49 (0) 2645 131 – </w:t>
      </w:r>
      <w:r w:rsidRPr="00713BCB">
        <w:rPr>
          <w:bCs w:val="0"/>
          <w:iCs w:val="0"/>
          <w:lang w:val="fr-FR"/>
        </w:rPr>
        <w:t>1966</w:t>
      </w:r>
    </w:p>
    <w:p w14:paraId="72EBA31D" w14:textId="77777777" w:rsidR="00B409DF" w:rsidRPr="00291FEF" w:rsidRDefault="00B409DF" w:rsidP="00B409DF">
      <w:pPr>
        <w:pStyle w:val="Fuzeile1"/>
      </w:pPr>
      <w:r>
        <w:rPr>
          <w:bCs w:val="0"/>
          <w:iCs w:val="0"/>
          <w:lang w:val="fr-FR"/>
        </w:rPr>
        <w:t>Telefax : +49 (0) 2645 131 – 499</w:t>
      </w:r>
    </w:p>
    <w:p w14:paraId="54DD8925" w14:textId="4C156B0B" w:rsidR="00B409DF" w:rsidRPr="00291FEF" w:rsidRDefault="00B409DF" w:rsidP="00B409DF">
      <w:pPr>
        <w:pStyle w:val="Fuzeile1"/>
      </w:pPr>
      <w:proofErr w:type="gramStart"/>
      <w:r>
        <w:rPr>
          <w:bCs w:val="0"/>
          <w:iCs w:val="0"/>
          <w:lang w:val="fr-FR"/>
        </w:rPr>
        <w:t>E-mail</w:t>
      </w:r>
      <w:proofErr w:type="gramEnd"/>
      <w:r>
        <w:rPr>
          <w:bCs w:val="0"/>
          <w:iCs w:val="0"/>
          <w:lang w:val="fr-FR"/>
        </w:rPr>
        <w:t> : PR@wirtgen-group.com</w:t>
      </w:r>
    </w:p>
    <w:p w14:paraId="51E322C9" w14:textId="77777777" w:rsidR="00B409DF" w:rsidRPr="00291FEF" w:rsidRDefault="00B409DF" w:rsidP="00B409DF">
      <w:pPr>
        <w:pStyle w:val="Fuzeile1"/>
        <w:rPr>
          <w:vanish/>
        </w:rPr>
      </w:pPr>
    </w:p>
    <w:p w14:paraId="11BA6AC4" w14:textId="77777777" w:rsidR="00B409DF" w:rsidRPr="00291FEF" w:rsidRDefault="00B409DF" w:rsidP="00B409DF">
      <w:pPr>
        <w:pStyle w:val="Fuzeile1"/>
      </w:pPr>
      <w:r>
        <w:rPr>
          <w:bCs w:val="0"/>
          <w:iCs w:val="0"/>
          <w:lang w:val="fr-FR"/>
        </w:rPr>
        <w:t>www.wirtgen-group.com</w:t>
      </w:r>
    </w:p>
    <w:p w14:paraId="2A29322A" w14:textId="77777777" w:rsidR="00B409DF" w:rsidRPr="00713BCB" w:rsidRDefault="00B409DF" w:rsidP="00541C9E">
      <w:pPr>
        <w:pStyle w:val="Absatzberschrift"/>
        <w:rPr>
          <w:b w:val="0"/>
          <w:bCs/>
          <w:iCs/>
        </w:rPr>
      </w:pPr>
    </w:p>
    <w:p w14:paraId="1AA2C54F" w14:textId="77777777" w:rsidR="00B409DF" w:rsidRPr="00713BCB" w:rsidRDefault="00B409DF" w:rsidP="00541C9E">
      <w:pPr>
        <w:pStyle w:val="Absatzberschrift"/>
        <w:rPr>
          <w:b w:val="0"/>
          <w:bCs/>
          <w:iCs/>
        </w:rPr>
      </w:pPr>
    </w:p>
    <w:p w14:paraId="3D604A55" w14:textId="179BBC00" w:rsidR="00F048D4" w:rsidRPr="00713BCB" w:rsidRDefault="00F048D4" w:rsidP="00F74540">
      <w:pPr>
        <w:pStyle w:val="Fuzeile1"/>
      </w:pPr>
    </w:p>
    <w:sectPr w:rsidR="00F048D4" w:rsidRPr="00713BCB" w:rsidSect="00CA4A09">
      <w:headerReference w:type="even" r:id="rId17"/>
      <w:headerReference w:type="default" r:id="rId18"/>
      <w:footerReference w:type="even" r:id="rId19"/>
      <w:footerReference w:type="default" r:id="rId20"/>
      <w:headerReference w:type="first" r:id="rId21"/>
      <w:footerReference w:type="first" r:id="rId22"/>
      <w:pgSz w:w="11906" w:h="16838" w:code="9"/>
      <w:pgMar w:top="2268" w:right="1191" w:bottom="964" w:left="119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Linnemann Mario" w:date="2024-09-17T17:20:00Z" w:initials="ML">
    <w:p w14:paraId="333A32B1" w14:textId="77777777" w:rsidR="00734DA4" w:rsidRDefault="00734DA4" w:rsidP="00734DA4">
      <w:pPr>
        <w:pStyle w:val="Kommentartext"/>
      </w:pPr>
      <w:r>
        <w:t>Verlinkung zu youtube und Thumbnail müssen noch aktualisiert werden.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33A32B1"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9438E6" w16cex:dateUtc="2024-09-17T15: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33A32B1" w16cid:durableId="2A9438E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937BA7" w14:textId="77777777" w:rsidR="004F7C79" w:rsidRDefault="004F7C79" w:rsidP="00E55534">
      <w:r>
        <w:separator/>
      </w:r>
    </w:p>
  </w:endnote>
  <w:endnote w:type="continuationSeparator" w:id="0">
    <w:p w14:paraId="01FBFA87" w14:textId="77777777" w:rsidR="004F7C79" w:rsidRDefault="004F7C79"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fr-F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fr-FR"/>
            </w:rPr>
            <w:fldChar w:fldCharType="begin"/>
          </w:r>
          <w:r>
            <w:rPr>
              <w:szCs w:val="20"/>
              <w:lang w:val="fr-FR"/>
            </w:rPr>
            <w:instrText xml:space="preserve"> PAGE \# "00"</w:instrText>
          </w:r>
          <w:r>
            <w:rPr>
              <w:szCs w:val="20"/>
              <w:lang w:val="fr-FR"/>
            </w:rPr>
            <w:fldChar w:fldCharType="separate"/>
          </w:r>
          <w:r>
            <w:rPr>
              <w:noProof/>
              <w:szCs w:val="20"/>
              <w:lang w:val="fr-FR"/>
            </w:rPr>
            <w:t>02</w:t>
          </w:r>
          <w:r>
            <w:rPr>
              <w:szCs w:val="20"/>
              <w:lang w:val="fr-FR"/>
            </w:rPr>
            <w:fldChar w:fldCharType="end"/>
          </w:r>
        </w:p>
      </w:tc>
    </w:tr>
  </w:tbl>
  <w:p w14:paraId="7CF7D2C8" w14:textId="77777777" w:rsidR="00533132" w:rsidRDefault="00BD5391">
    <w:pPr>
      <w:pStyle w:val="Fuzeile"/>
    </w:pPr>
    <w:r>
      <w:rPr>
        <w:noProof/>
        <w:lang w:val="fr-F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fr-FR"/>
            </w:rPr>
            <w:t>WIRTGEN</w:t>
          </w:r>
          <w:r>
            <w:rPr>
              <w:rStyle w:val="Hervorhebung"/>
              <w:bCs/>
              <w:iCs w:val="0"/>
              <w:szCs w:val="20"/>
              <w:lang w:val="fr-FR"/>
            </w:rPr>
            <w:t xml:space="preserve"> GmbH</w:t>
          </w:r>
          <w:r>
            <w:rPr>
              <w:szCs w:val="20"/>
              <w:lang w:val="fr-FR"/>
            </w:rPr>
            <w:t xml:space="preserve"> · Reinhard-Wirtgen-Str. 2 · D-53578 Windhagen · T : +49 26 45 / 131 0</w:t>
          </w:r>
        </w:p>
      </w:tc>
    </w:tr>
  </w:tbl>
  <w:p w14:paraId="732BEB33" w14:textId="77777777" w:rsidR="00533132" w:rsidRDefault="00BD5391">
    <w:pPr>
      <w:pStyle w:val="Fuzeile"/>
    </w:pPr>
    <w:r>
      <w:rPr>
        <w:noProof/>
        <w:lang w:val="fr-F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F2EFEE" w14:textId="77777777" w:rsidR="004F7C79" w:rsidRDefault="004F7C79" w:rsidP="00E55534">
      <w:r>
        <w:separator/>
      </w:r>
    </w:p>
  </w:footnote>
  <w:footnote w:type="continuationSeparator" w:id="0">
    <w:p w14:paraId="333DA920" w14:textId="77777777" w:rsidR="004F7C79" w:rsidRDefault="004F7C79"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D35AE53" w:rsidR="000278CB" w:rsidRDefault="007B688B">
    <w:pPr>
      <w:pStyle w:val="Kopfzeile"/>
    </w:pPr>
    <w:r>
      <w:rPr>
        <w:noProof/>
        <w:lang w:val="fr-FR"/>
      </w:rPr>
      <mc:AlternateContent>
        <mc:Choice Requires="wps">
          <w:drawing>
            <wp:anchor distT="0" distB="0" distL="0" distR="0" simplePos="0" relativeHeight="251661312" behindDoc="0" locked="0" layoutInCell="1" allowOverlap="1" wp14:anchorId="4F6D6B76" wp14:editId="368A4F40">
              <wp:simplePos x="635" y="635"/>
              <wp:positionH relativeFrom="page">
                <wp:align>right</wp:align>
              </wp:positionH>
              <wp:positionV relativeFrom="page">
                <wp:align>top</wp:align>
              </wp:positionV>
              <wp:extent cx="443865" cy="443865"/>
              <wp:effectExtent l="0" t="0" r="0" b="16510"/>
              <wp:wrapNone/>
              <wp:docPr id="138487482"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7713B42" w14:textId="4DFB5401" w:rsidR="007B688B" w:rsidRPr="007B688B" w:rsidRDefault="007B688B" w:rsidP="007B688B">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F6D6B76" id="_x0000_t202" coordsize="21600,21600" o:spt="202" path="m,l,21600r21600,l21600,xe">
              <v:stroke joinstyle="miter"/>
              <v:path gradientshapeok="t" o:connecttype="rect"/>
            </v:shapetype>
            <v:shape id="Textfeld 2"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77713B42" w14:textId="4DFB5401" w:rsidR="007B688B" w:rsidRPr="007B688B" w:rsidRDefault="007B688B" w:rsidP="007B688B">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6642971" w:rsidR="00533132" w:rsidRPr="00533132" w:rsidRDefault="007B688B" w:rsidP="00533132">
    <w:pPr>
      <w:pStyle w:val="Kopfzeile"/>
    </w:pPr>
    <w:r>
      <w:rPr>
        <w:noProof/>
        <w:lang w:val="fr-FR"/>
      </w:rPr>
      <mc:AlternateContent>
        <mc:Choice Requires="wps">
          <w:drawing>
            <wp:anchor distT="0" distB="0" distL="0" distR="0" simplePos="0" relativeHeight="251662336" behindDoc="0" locked="0" layoutInCell="1" allowOverlap="1" wp14:anchorId="6B96A33F" wp14:editId="71D1317F">
              <wp:simplePos x="752475" y="447675"/>
              <wp:positionH relativeFrom="page">
                <wp:align>right</wp:align>
              </wp:positionH>
              <wp:positionV relativeFrom="page">
                <wp:align>top</wp:align>
              </wp:positionV>
              <wp:extent cx="443865" cy="443865"/>
              <wp:effectExtent l="0" t="0" r="0" b="16510"/>
              <wp:wrapNone/>
              <wp:docPr id="118208061"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391AC6B" w14:textId="56904442" w:rsidR="007B688B" w:rsidRPr="007B688B" w:rsidRDefault="007B688B" w:rsidP="007B688B">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B96A33F" id="_x0000_t202" coordsize="21600,21600" o:spt="202" path="m,l,21600r21600,l21600,xe">
              <v:stroke joinstyle="miter"/>
              <v:path gradientshapeok="t" o:connecttype="rect"/>
            </v:shapetype>
            <v:shape id="Textfeld 3"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1391AC6B" w14:textId="56904442" w:rsidR="007B688B" w:rsidRPr="007B688B" w:rsidRDefault="007B688B" w:rsidP="007B688B">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anchorx="page" anchory="page"/>
            </v:shape>
          </w:pict>
        </mc:Fallback>
      </mc:AlternateContent>
    </w:r>
    <w:r>
      <w:rPr>
        <w:noProof/>
        <w:lang w:val="fr-FR"/>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353A37BE" w:rsidR="00533132" w:rsidRDefault="007B688B">
    <w:pPr>
      <w:pStyle w:val="Kopfzeile"/>
    </w:pPr>
    <w:r>
      <w:rPr>
        <w:noProof/>
        <w:lang w:val="fr-FR"/>
      </w:rPr>
      <mc:AlternateContent>
        <mc:Choice Requires="wps">
          <w:drawing>
            <wp:anchor distT="0" distB="0" distL="0" distR="0" simplePos="0" relativeHeight="251660288" behindDoc="0" locked="0" layoutInCell="1" allowOverlap="1" wp14:anchorId="1579312B" wp14:editId="5C261164">
              <wp:simplePos x="635" y="635"/>
              <wp:positionH relativeFrom="page">
                <wp:align>right</wp:align>
              </wp:positionH>
              <wp:positionV relativeFrom="page">
                <wp:align>top</wp:align>
              </wp:positionV>
              <wp:extent cx="443865" cy="443865"/>
              <wp:effectExtent l="0" t="0" r="0" b="16510"/>
              <wp:wrapNone/>
              <wp:docPr id="305990139"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FD2A86B" w14:textId="3F93E970" w:rsidR="007B688B" w:rsidRPr="007B688B" w:rsidRDefault="007B688B" w:rsidP="007B688B">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579312B"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2FD2A86B" w14:textId="3F93E970" w:rsidR="007B688B" w:rsidRPr="007B688B" w:rsidRDefault="007B688B" w:rsidP="007B688B">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anchorx="page" anchory="page"/>
            </v:shape>
          </w:pict>
        </mc:Fallback>
      </mc:AlternateContent>
    </w:r>
    <w:r>
      <w:rPr>
        <w:noProof/>
        <w:lang w:val="fr-F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fr-F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0"/>
  </w:num>
  <w:num w:numId="2" w16cid:durableId="647710789">
    <w:abstractNumId w:val="10"/>
  </w:num>
  <w:num w:numId="3" w16cid:durableId="1612785632">
    <w:abstractNumId w:val="10"/>
  </w:num>
  <w:num w:numId="4" w16cid:durableId="1910191778">
    <w:abstractNumId w:val="10"/>
  </w:num>
  <w:num w:numId="5" w16cid:durableId="1033074120">
    <w:abstractNumId w:val="10"/>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5"/>
  </w:num>
  <w:num w:numId="12" w16cid:durableId="134956192">
    <w:abstractNumId w:val="5"/>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8"/>
  </w:num>
  <w:num w:numId="21" w16cid:durableId="3461818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7"/>
  </w:num>
  <w:num w:numId="25" w16cid:durableId="17521205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6"/>
  </w:num>
  <w:num w:numId="27" w16cid:durableId="1926723541">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innemann Mario">
    <w15:presenceInfo w15:providerId="AD" w15:userId="S::Mario.Linnemann@wirtgen-group.com::0fd7c9f3-da66-46d9-9567-fd0ce761841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64D7"/>
    <w:rsid w:val="0000745C"/>
    <w:rsid w:val="000148B3"/>
    <w:rsid w:val="00017575"/>
    <w:rsid w:val="00022EC1"/>
    <w:rsid w:val="00024BFC"/>
    <w:rsid w:val="000278CB"/>
    <w:rsid w:val="000401F1"/>
    <w:rsid w:val="00042106"/>
    <w:rsid w:val="0005285B"/>
    <w:rsid w:val="000537C5"/>
    <w:rsid w:val="00055529"/>
    <w:rsid w:val="00056224"/>
    <w:rsid w:val="00062C3A"/>
    <w:rsid w:val="00066D09"/>
    <w:rsid w:val="000903BA"/>
    <w:rsid w:val="0009665C"/>
    <w:rsid w:val="000A0479"/>
    <w:rsid w:val="000A36D9"/>
    <w:rsid w:val="000A4C7D"/>
    <w:rsid w:val="000B4EF0"/>
    <w:rsid w:val="000B582B"/>
    <w:rsid w:val="000C7C82"/>
    <w:rsid w:val="000D15C3"/>
    <w:rsid w:val="000D357E"/>
    <w:rsid w:val="000E24F8"/>
    <w:rsid w:val="000E4862"/>
    <w:rsid w:val="000E5738"/>
    <w:rsid w:val="000F3749"/>
    <w:rsid w:val="00103205"/>
    <w:rsid w:val="00103F20"/>
    <w:rsid w:val="0011795C"/>
    <w:rsid w:val="0012026F"/>
    <w:rsid w:val="00130601"/>
    <w:rsid w:val="00132055"/>
    <w:rsid w:val="00134338"/>
    <w:rsid w:val="00143885"/>
    <w:rsid w:val="00146C3D"/>
    <w:rsid w:val="00153B47"/>
    <w:rsid w:val="001613A6"/>
    <w:rsid w:val="001614F0"/>
    <w:rsid w:val="001616F4"/>
    <w:rsid w:val="0018021A"/>
    <w:rsid w:val="00182D69"/>
    <w:rsid w:val="0018562C"/>
    <w:rsid w:val="00185836"/>
    <w:rsid w:val="00193CE0"/>
    <w:rsid w:val="00194FB1"/>
    <w:rsid w:val="0019766C"/>
    <w:rsid w:val="001B16BB"/>
    <w:rsid w:val="001B34EE"/>
    <w:rsid w:val="001C1A3E"/>
    <w:rsid w:val="001F359E"/>
    <w:rsid w:val="00200355"/>
    <w:rsid w:val="0021351D"/>
    <w:rsid w:val="00227AA2"/>
    <w:rsid w:val="00230B87"/>
    <w:rsid w:val="00253A2E"/>
    <w:rsid w:val="002603EC"/>
    <w:rsid w:val="00282AFC"/>
    <w:rsid w:val="00286C15"/>
    <w:rsid w:val="00291FEF"/>
    <w:rsid w:val="0029634D"/>
    <w:rsid w:val="002A6B6E"/>
    <w:rsid w:val="002C6F4F"/>
    <w:rsid w:val="002C7542"/>
    <w:rsid w:val="002D065C"/>
    <w:rsid w:val="002D0780"/>
    <w:rsid w:val="002D1038"/>
    <w:rsid w:val="002D2EE5"/>
    <w:rsid w:val="002D63E6"/>
    <w:rsid w:val="002E619D"/>
    <w:rsid w:val="002E6AC6"/>
    <w:rsid w:val="002E765F"/>
    <w:rsid w:val="002E7E4E"/>
    <w:rsid w:val="002F108B"/>
    <w:rsid w:val="002F5818"/>
    <w:rsid w:val="002F70FD"/>
    <w:rsid w:val="002F7E0B"/>
    <w:rsid w:val="0030316D"/>
    <w:rsid w:val="0032774C"/>
    <w:rsid w:val="00332D28"/>
    <w:rsid w:val="0033422D"/>
    <w:rsid w:val="00340E41"/>
    <w:rsid w:val="0034191A"/>
    <w:rsid w:val="00343CC7"/>
    <w:rsid w:val="00364337"/>
    <w:rsid w:val="0036561D"/>
    <w:rsid w:val="003665BE"/>
    <w:rsid w:val="00380708"/>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25FCB"/>
    <w:rsid w:val="00430BB0"/>
    <w:rsid w:val="004317B8"/>
    <w:rsid w:val="00445D91"/>
    <w:rsid w:val="0046343E"/>
    <w:rsid w:val="00467F3C"/>
    <w:rsid w:val="0047498D"/>
    <w:rsid w:val="00476100"/>
    <w:rsid w:val="00487BFC"/>
    <w:rsid w:val="004A1833"/>
    <w:rsid w:val="004B3E60"/>
    <w:rsid w:val="004C1967"/>
    <w:rsid w:val="004D23D0"/>
    <w:rsid w:val="004D2BE0"/>
    <w:rsid w:val="004E0A77"/>
    <w:rsid w:val="004E61FD"/>
    <w:rsid w:val="004E6EF5"/>
    <w:rsid w:val="004E74CA"/>
    <w:rsid w:val="004F7C79"/>
    <w:rsid w:val="00506409"/>
    <w:rsid w:val="00530E32"/>
    <w:rsid w:val="00533132"/>
    <w:rsid w:val="00534889"/>
    <w:rsid w:val="005366BF"/>
    <w:rsid w:val="00537210"/>
    <w:rsid w:val="00541C9E"/>
    <w:rsid w:val="005649F4"/>
    <w:rsid w:val="005710C8"/>
    <w:rsid w:val="005711A3"/>
    <w:rsid w:val="00571A5C"/>
    <w:rsid w:val="00573B2B"/>
    <w:rsid w:val="005776E9"/>
    <w:rsid w:val="00587AD9"/>
    <w:rsid w:val="005909A8"/>
    <w:rsid w:val="005931CB"/>
    <w:rsid w:val="00593596"/>
    <w:rsid w:val="005A2B78"/>
    <w:rsid w:val="005A4F04"/>
    <w:rsid w:val="005B5793"/>
    <w:rsid w:val="005C6B30"/>
    <w:rsid w:val="005C71EC"/>
    <w:rsid w:val="005D7B09"/>
    <w:rsid w:val="005E764C"/>
    <w:rsid w:val="005F16C3"/>
    <w:rsid w:val="005F2C67"/>
    <w:rsid w:val="006063D4"/>
    <w:rsid w:val="00612D6C"/>
    <w:rsid w:val="00612E24"/>
    <w:rsid w:val="00615CDA"/>
    <w:rsid w:val="00623B37"/>
    <w:rsid w:val="006274EE"/>
    <w:rsid w:val="006330A2"/>
    <w:rsid w:val="00642EB6"/>
    <w:rsid w:val="006433E2"/>
    <w:rsid w:val="00651E5D"/>
    <w:rsid w:val="00677F11"/>
    <w:rsid w:val="00682B1A"/>
    <w:rsid w:val="00690D7C"/>
    <w:rsid w:val="00690DFE"/>
    <w:rsid w:val="00691678"/>
    <w:rsid w:val="006B3EEC"/>
    <w:rsid w:val="006C0C87"/>
    <w:rsid w:val="006D4BE1"/>
    <w:rsid w:val="006D7EAC"/>
    <w:rsid w:val="006E0104"/>
    <w:rsid w:val="006F7602"/>
    <w:rsid w:val="007100BC"/>
    <w:rsid w:val="00713BCB"/>
    <w:rsid w:val="00714D6B"/>
    <w:rsid w:val="00722A17"/>
    <w:rsid w:val="00723F4F"/>
    <w:rsid w:val="00730EC2"/>
    <w:rsid w:val="00734DA4"/>
    <w:rsid w:val="00755AE0"/>
    <w:rsid w:val="0075761B"/>
    <w:rsid w:val="00757B83"/>
    <w:rsid w:val="00771705"/>
    <w:rsid w:val="00773697"/>
    <w:rsid w:val="00774358"/>
    <w:rsid w:val="00791A69"/>
    <w:rsid w:val="0079462A"/>
    <w:rsid w:val="00794830"/>
    <w:rsid w:val="00797CAA"/>
    <w:rsid w:val="007A2B6F"/>
    <w:rsid w:val="007A46B3"/>
    <w:rsid w:val="007A6BD2"/>
    <w:rsid w:val="007B00DF"/>
    <w:rsid w:val="007B688B"/>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084A"/>
    <w:rsid w:val="008427F2"/>
    <w:rsid w:val="00843B45"/>
    <w:rsid w:val="0084571C"/>
    <w:rsid w:val="00863129"/>
    <w:rsid w:val="00866830"/>
    <w:rsid w:val="00870ACE"/>
    <w:rsid w:val="00873125"/>
    <w:rsid w:val="008755E5"/>
    <w:rsid w:val="00880ED3"/>
    <w:rsid w:val="00881E44"/>
    <w:rsid w:val="00892F6F"/>
    <w:rsid w:val="00896F7E"/>
    <w:rsid w:val="008B1EB7"/>
    <w:rsid w:val="008B26C6"/>
    <w:rsid w:val="008C2A29"/>
    <w:rsid w:val="008C2DB2"/>
    <w:rsid w:val="008D26D8"/>
    <w:rsid w:val="008D770E"/>
    <w:rsid w:val="008E5008"/>
    <w:rsid w:val="008F7BB7"/>
    <w:rsid w:val="0090337E"/>
    <w:rsid w:val="009049D8"/>
    <w:rsid w:val="00910609"/>
    <w:rsid w:val="009125E2"/>
    <w:rsid w:val="00915841"/>
    <w:rsid w:val="00922098"/>
    <w:rsid w:val="009328FA"/>
    <w:rsid w:val="00936A78"/>
    <w:rsid w:val="009375E1"/>
    <w:rsid w:val="00952853"/>
    <w:rsid w:val="009646E4"/>
    <w:rsid w:val="00977EC3"/>
    <w:rsid w:val="00980313"/>
    <w:rsid w:val="009804FF"/>
    <w:rsid w:val="0098631D"/>
    <w:rsid w:val="009877C8"/>
    <w:rsid w:val="00990DCE"/>
    <w:rsid w:val="009B17A9"/>
    <w:rsid w:val="009B211F"/>
    <w:rsid w:val="009B2E35"/>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622D"/>
    <w:rsid w:val="00A27829"/>
    <w:rsid w:val="00A30886"/>
    <w:rsid w:val="00A46F1E"/>
    <w:rsid w:val="00A82395"/>
    <w:rsid w:val="00A930D1"/>
    <w:rsid w:val="00A9389A"/>
    <w:rsid w:val="00A96B2E"/>
    <w:rsid w:val="00A977CE"/>
    <w:rsid w:val="00AB52F9"/>
    <w:rsid w:val="00AC3138"/>
    <w:rsid w:val="00AC6F42"/>
    <w:rsid w:val="00AD131F"/>
    <w:rsid w:val="00AD32D5"/>
    <w:rsid w:val="00AD70E4"/>
    <w:rsid w:val="00AF0498"/>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4B16"/>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232C2"/>
    <w:rsid w:val="00C40627"/>
    <w:rsid w:val="00C43EAF"/>
    <w:rsid w:val="00C457C3"/>
    <w:rsid w:val="00C644CA"/>
    <w:rsid w:val="00C658FC"/>
    <w:rsid w:val="00C73005"/>
    <w:rsid w:val="00C84FDC"/>
    <w:rsid w:val="00C85E18"/>
    <w:rsid w:val="00C96E9F"/>
    <w:rsid w:val="00CA35E3"/>
    <w:rsid w:val="00CA4A09"/>
    <w:rsid w:val="00CA4F06"/>
    <w:rsid w:val="00CB7DAC"/>
    <w:rsid w:val="00CC5A63"/>
    <w:rsid w:val="00CC787C"/>
    <w:rsid w:val="00CF36C9"/>
    <w:rsid w:val="00D00EC4"/>
    <w:rsid w:val="00D164C8"/>
    <w:rsid w:val="00D166AC"/>
    <w:rsid w:val="00D16C4C"/>
    <w:rsid w:val="00D36BA2"/>
    <w:rsid w:val="00D37CF4"/>
    <w:rsid w:val="00D4487C"/>
    <w:rsid w:val="00D63D33"/>
    <w:rsid w:val="00D73352"/>
    <w:rsid w:val="00D74EA4"/>
    <w:rsid w:val="00D84E46"/>
    <w:rsid w:val="00D935C3"/>
    <w:rsid w:val="00DA0266"/>
    <w:rsid w:val="00DA0F4B"/>
    <w:rsid w:val="00DA477E"/>
    <w:rsid w:val="00DB4BB0"/>
    <w:rsid w:val="00DD0C2F"/>
    <w:rsid w:val="00DE461D"/>
    <w:rsid w:val="00E020B4"/>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734EC"/>
    <w:rsid w:val="00E83680"/>
    <w:rsid w:val="00E914D1"/>
    <w:rsid w:val="00E960D8"/>
    <w:rsid w:val="00EB488E"/>
    <w:rsid w:val="00EB5FCA"/>
    <w:rsid w:val="00ED7F68"/>
    <w:rsid w:val="00EE1DB1"/>
    <w:rsid w:val="00EF2575"/>
    <w:rsid w:val="00EF5828"/>
    <w:rsid w:val="00F048D4"/>
    <w:rsid w:val="00F207FE"/>
    <w:rsid w:val="00F20920"/>
    <w:rsid w:val="00F23212"/>
    <w:rsid w:val="00F33B16"/>
    <w:rsid w:val="00F353EA"/>
    <w:rsid w:val="00F36C27"/>
    <w:rsid w:val="00F4241F"/>
    <w:rsid w:val="00F56318"/>
    <w:rsid w:val="00F67C95"/>
    <w:rsid w:val="00F72DEF"/>
    <w:rsid w:val="00F74540"/>
    <w:rsid w:val="00F75B79"/>
    <w:rsid w:val="00F82525"/>
    <w:rsid w:val="00F91AC4"/>
    <w:rsid w:val="00F976DF"/>
    <w:rsid w:val="00F97FEA"/>
    <w:rsid w:val="00FA2DD8"/>
    <w:rsid w:val="00FB3E58"/>
    <w:rsid w:val="00FB5CB4"/>
    <w:rsid w:val="00FB60E1"/>
    <w:rsid w:val="00FC72DA"/>
    <w:rsid w:val="00FD1E6F"/>
    <w:rsid w:val="00FD3768"/>
    <w:rsid w:val="00FD51E9"/>
    <w:rsid w:val="00FE77DC"/>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217"/>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0B4EF0"/>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comments" Target="comments.xm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numbering" Target="numbering.xml"/><Relationship Id="rId16" Type="http://schemas.microsoft.com/office/2018/08/relationships/commentsExtensible" Target="commentsExtensible.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24" Type="http://schemas.microsoft.com/office/2011/relationships/people" Target="people.xml"/><Relationship Id="rId5" Type="http://schemas.openxmlformats.org/officeDocument/2006/relationships/webSettings" Target="webSettings.xml"/><Relationship Id="rId15" Type="http://schemas.microsoft.com/office/2016/09/relationships/commentsIds" Target="commentsIds.xml"/><Relationship Id="rId23" Type="http://schemas.openxmlformats.org/officeDocument/2006/relationships/fontTable" Target="fontTable.xml"/><Relationship Id="rId10" Type="http://schemas.openxmlformats.org/officeDocument/2006/relationships/image" Target="media/image5.jpe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4.jpeg"/><Relationship Id="rId14" Type="http://schemas.microsoft.com/office/2011/relationships/commentsExtended" Target="commentsExtended.xml"/><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9.svg"/><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877</Words>
  <Characters>5528</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6393</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Sehr, Anja</cp:lastModifiedBy>
  <cp:revision>7</cp:revision>
  <cp:lastPrinted>2024-09-15T17:28:00Z</cp:lastPrinted>
  <dcterms:created xsi:type="dcterms:W3CDTF">2024-09-17T16:06:00Z</dcterms:created>
  <dcterms:modified xsi:type="dcterms:W3CDTF">2024-10-08T11:40:00Z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123d09fb,84126ba,70bb63d</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2024-09-17T15:54:39Z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c870d422-5803-434e-a9df-cdf904ceed2d</vt:lpwstr>
  </property>
  <property fmtid="{D5CDD505-2E9C-101B-9397-08002B2CF9AE}" pid="11" name="MSIP_Label_df1a195f-122b-42dc-a2d3-71a1903dcdac_ContentBits">
    <vt:lpwstr>1</vt:lpwstr>
  </property>
</Properties>
</file>